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8B8" w:rsidRPr="001467AF" w:rsidRDefault="00FF48B8" w:rsidP="00FF48B8">
      <w:pPr>
        <w:pStyle w:val="Body1"/>
        <w:jc w:val="center"/>
        <w:rPr>
          <w:rFonts w:ascii="Arial" w:hAnsi="Arial" w:cs="Arial"/>
          <w:b/>
          <w:sz w:val="22"/>
          <w:szCs w:val="20"/>
          <w:lang w:val="en-GB"/>
        </w:rPr>
      </w:pPr>
      <w:bookmarkStart w:id="0" w:name="_Toc462646046"/>
      <w:r w:rsidRPr="001467AF">
        <w:rPr>
          <w:rFonts w:ascii="Arial" w:hAnsi="Arial" w:cs="Arial"/>
          <w:b/>
          <w:sz w:val="22"/>
          <w:szCs w:val="20"/>
          <w:lang w:val="en-GB"/>
        </w:rPr>
        <w:t>The Social Determinants Underlying Tuberc</w:t>
      </w:r>
      <w:bookmarkStart w:id="1" w:name="_GoBack"/>
      <w:bookmarkEnd w:id="1"/>
      <w:r w:rsidRPr="001467AF">
        <w:rPr>
          <w:rFonts w:ascii="Arial" w:hAnsi="Arial" w:cs="Arial"/>
          <w:b/>
          <w:sz w:val="22"/>
          <w:szCs w:val="20"/>
          <w:lang w:val="en-GB"/>
        </w:rPr>
        <w:t>ulosis Diagnostic Delay: A Mixed Methods Study</w:t>
      </w:r>
      <w:bookmarkEnd w:id="0"/>
    </w:p>
    <w:p w:rsidR="00FF48B8" w:rsidRPr="001467AF" w:rsidRDefault="00FF48B8" w:rsidP="00FF48B8">
      <w:pPr>
        <w:spacing w:line="240" w:lineRule="auto"/>
        <w:jc w:val="both"/>
        <w:rPr>
          <w:rFonts w:ascii="Arial" w:hAnsi="Arial" w:cs="Arial"/>
          <w:sz w:val="20"/>
          <w:szCs w:val="20"/>
        </w:rPr>
      </w:pPr>
    </w:p>
    <w:p w:rsidR="00FF48B8" w:rsidRPr="00331865" w:rsidRDefault="00FF48B8" w:rsidP="00FF48B8">
      <w:pPr>
        <w:spacing w:line="240" w:lineRule="auto"/>
        <w:jc w:val="center"/>
        <w:rPr>
          <w:rFonts w:ascii="Calibri" w:hAnsi="Calibri" w:cs="Calibri"/>
          <w:b/>
        </w:rPr>
      </w:pPr>
      <w:r w:rsidRPr="00331865">
        <w:rPr>
          <w:rFonts w:ascii="Calibri" w:hAnsi="Calibri" w:cs="Calibri"/>
          <w:u w:val="single"/>
        </w:rPr>
        <w:t>Bonadonna LI</w:t>
      </w:r>
      <w:r w:rsidRPr="00331865">
        <w:rPr>
          <w:rFonts w:ascii="Calibri" w:hAnsi="Calibri" w:cs="Calibri"/>
          <w:vertAlign w:val="superscript"/>
        </w:rPr>
        <w:t>1,2,3,4</w:t>
      </w:r>
      <w:r w:rsidRPr="00331865">
        <w:rPr>
          <w:rFonts w:ascii="Calibri" w:hAnsi="Calibri" w:cs="Calibri"/>
        </w:rPr>
        <w:t>, Saunders MJ</w:t>
      </w:r>
      <w:r w:rsidRPr="00331865">
        <w:rPr>
          <w:rFonts w:ascii="Calibri" w:hAnsi="Calibri" w:cs="Calibri"/>
          <w:vertAlign w:val="superscript"/>
        </w:rPr>
        <w:t>3,4,5</w:t>
      </w:r>
      <w:r w:rsidRPr="00331865">
        <w:rPr>
          <w:rFonts w:ascii="Calibri" w:hAnsi="Calibri" w:cs="Calibri"/>
        </w:rPr>
        <w:t>, Zegarra RO</w:t>
      </w:r>
      <w:r w:rsidRPr="00331865">
        <w:rPr>
          <w:rFonts w:ascii="Calibri" w:hAnsi="Calibri" w:cs="Calibri"/>
          <w:vertAlign w:val="superscript"/>
        </w:rPr>
        <w:t>2</w:t>
      </w:r>
      <w:r w:rsidRPr="00331865">
        <w:rPr>
          <w:rFonts w:ascii="Calibri" w:hAnsi="Calibri" w:cs="Calibri"/>
        </w:rPr>
        <w:t>, Evans CA</w:t>
      </w:r>
      <w:r w:rsidRPr="00331865">
        <w:rPr>
          <w:rFonts w:ascii="Calibri" w:hAnsi="Calibri" w:cs="Calibri"/>
          <w:vertAlign w:val="superscript"/>
        </w:rPr>
        <w:t>3,4,5</w:t>
      </w:r>
      <w:r w:rsidRPr="00331865">
        <w:rPr>
          <w:rFonts w:ascii="Calibri" w:hAnsi="Calibri" w:cs="Calibri"/>
        </w:rPr>
        <w:t>,Guio HE</w:t>
      </w:r>
      <w:r w:rsidRPr="00331865">
        <w:rPr>
          <w:rFonts w:ascii="Calibri" w:hAnsi="Calibri" w:cs="Calibri"/>
          <w:vertAlign w:val="superscript"/>
        </w:rPr>
        <w:t>2</w:t>
      </w:r>
    </w:p>
    <w:p w:rsidR="00FF48B8" w:rsidRPr="00877252" w:rsidRDefault="00FF48B8" w:rsidP="00FF48B8">
      <w:pPr>
        <w:spacing w:line="360" w:lineRule="auto"/>
        <w:jc w:val="both"/>
        <w:rPr>
          <w:rFonts w:ascii="Arial" w:hAnsi="Arial" w:cs="Arial"/>
          <w:sz w:val="10"/>
          <w:szCs w:val="20"/>
        </w:rPr>
      </w:pPr>
    </w:p>
    <w:p w:rsidR="00FF48B8" w:rsidRPr="00331865" w:rsidRDefault="00FF48B8" w:rsidP="00FF48B8">
      <w:pPr>
        <w:pStyle w:val="Prrafodelista"/>
        <w:numPr>
          <w:ilvl w:val="0"/>
          <w:numId w:val="1"/>
        </w:numPr>
        <w:spacing w:after="0"/>
        <w:jc w:val="both"/>
        <w:rPr>
          <w:rStyle w:val="apple-style-span"/>
          <w:rFonts w:ascii="Calibri" w:hAnsi="Calibri" w:cs="Calibri"/>
          <w:lang w:val="en-GB"/>
        </w:rPr>
      </w:pPr>
      <w:r w:rsidRPr="00331865">
        <w:rPr>
          <w:rStyle w:val="apple-style-span"/>
          <w:rFonts w:ascii="Calibri" w:hAnsi="Calibri" w:cs="Calibri"/>
          <w:lang w:val="en-GB"/>
        </w:rPr>
        <w:t>The University of Michigan, Ann Arbor, MI, USA</w:t>
      </w:r>
    </w:p>
    <w:p w:rsidR="00FF48B8" w:rsidRPr="00331865" w:rsidRDefault="00FF48B8" w:rsidP="00FF48B8">
      <w:pPr>
        <w:pStyle w:val="Prrafodelista"/>
        <w:numPr>
          <w:ilvl w:val="0"/>
          <w:numId w:val="1"/>
        </w:numPr>
        <w:spacing w:after="0"/>
        <w:jc w:val="both"/>
        <w:rPr>
          <w:rStyle w:val="apple-style-span"/>
          <w:rFonts w:ascii="Calibri" w:hAnsi="Calibri" w:cs="Calibri"/>
        </w:rPr>
      </w:pPr>
      <w:r w:rsidRPr="00331865">
        <w:rPr>
          <w:rStyle w:val="apple-style-span"/>
          <w:rFonts w:ascii="Calibri" w:hAnsi="Calibri" w:cs="Calibri"/>
        </w:rPr>
        <w:t xml:space="preserve">Instituto Nacional de Salud, Lima, Peru </w:t>
      </w:r>
    </w:p>
    <w:p w:rsidR="00FF48B8" w:rsidRPr="00331865" w:rsidRDefault="00FF48B8" w:rsidP="00FF48B8">
      <w:pPr>
        <w:pStyle w:val="Prrafodelista"/>
        <w:numPr>
          <w:ilvl w:val="0"/>
          <w:numId w:val="1"/>
        </w:numPr>
        <w:spacing w:after="0"/>
        <w:jc w:val="both"/>
        <w:rPr>
          <w:rStyle w:val="apple-style-span"/>
          <w:rFonts w:ascii="Calibri" w:hAnsi="Calibri" w:cs="Calibri"/>
        </w:rPr>
      </w:pPr>
      <w:r w:rsidRPr="00331865">
        <w:rPr>
          <w:rStyle w:val="apple-style-span"/>
          <w:rFonts w:ascii="Calibri" w:hAnsi="Calibri" w:cs="Calibri"/>
        </w:rPr>
        <w:t>Innovación Por la Salud Y Desarrollo (IPSYD), Asociación Benéfica PRISMA, Lima, Perú</w:t>
      </w:r>
    </w:p>
    <w:p w:rsidR="00FF48B8" w:rsidRPr="00331865" w:rsidRDefault="00FF48B8" w:rsidP="00FF48B8">
      <w:pPr>
        <w:pStyle w:val="Prrafodelista"/>
        <w:numPr>
          <w:ilvl w:val="0"/>
          <w:numId w:val="1"/>
        </w:numPr>
        <w:spacing w:after="0"/>
        <w:jc w:val="both"/>
        <w:rPr>
          <w:rStyle w:val="apple-style-span"/>
          <w:rFonts w:ascii="Calibri" w:hAnsi="Calibri" w:cs="Calibri"/>
          <w:lang w:val="en-US"/>
        </w:rPr>
      </w:pPr>
      <w:r w:rsidRPr="00331865">
        <w:rPr>
          <w:rStyle w:val="apple-style-span"/>
          <w:rFonts w:ascii="Calibri" w:hAnsi="Calibri" w:cs="Calibri"/>
          <w:lang w:val="en-US"/>
        </w:rPr>
        <w:t xml:space="preserve">Innovation For Health And Development (IFHAD), Laboratory of Research and Development, Universidad Peruana Cayetano Heredia, Lima, Perú </w:t>
      </w:r>
    </w:p>
    <w:p w:rsidR="00FF48B8" w:rsidRPr="00331865" w:rsidRDefault="00FF48B8" w:rsidP="00FF48B8">
      <w:pPr>
        <w:pStyle w:val="Prrafodelista"/>
        <w:numPr>
          <w:ilvl w:val="0"/>
          <w:numId w:val="1"/>
        </w:numPr>
        <w:spacing w:after="0"/>
        <w:jc w:val="both"/>
        <w:rPr>
          <w:rStyle w:val="apple-style-span"/>
          <w:rFonts w:ascii="Calibri" w:hAnsi="Calibri" w:cs="Calibri"/>
          <w:lang w:val="en-US"/>
        </w:rPr>
      </w:pPr>
      <w:r w:rsidRPr="00331865">
        <w:rPr>
          <w:rStyle w:val="apple-style-span"/>
          <w:rFonts w:ascii="Calibri" w:hAnsi="Calibri" w:cs="Calibri"/>
          <w:lang w:val="en-US"/>
        </w:rPr>
        <w:t>Infectious Diseases &amp; Immunity, Imperial College London, and Wellcome Trust Imperial College Centre for Global Health Research, London, UK</w:t>
      </w:r>
    </w:p>
    <w:p w:rsidR="00FF48B8" w:rsidRPr="00877252" w:rsidRDefault="00FF48B8" w:rsidP="00FF48B8">
      <w:pPr>
        <w:spacing w:line="360" w:lineRule="auto"/>
        <w:jc w:val="both"/>
        <w:rPr>
          <w:rFonts w:ascii="Arial" w:hAnsi="Arial" w:cs="Arial"/>
          <w:b/>
          <w:sz w:val="10"/>
          <w:szCs w:val="20"/>
        </w:rPr>
      </w:pPr>
    </w:p>
    <w:p w:rsidR="00FF48B8" w:rsidRPr="00331865" w:rsidRDefault="00FF48B8" w:rsidP="00FF48B8">
      <w:pPr>
        <w:spacing w:line="240" w:lineRule="auto"/>
        <w:jc w:val="both"/>
        <w:rPr>
          <w:rFonts w:cstheme="minorHAnsi"/>
        </w:rPr>
      </w:pPr>
      <w:r w:rsidRPr="00331865">
        <w:rPr>
          <w:rFonts w:ascii="Arial" w:hAnsi="Arial" w:cs="Arial"/>
          <w:b/>
        </w:rPr>
        <w:t>B</w:t>
      </w:r>
      <w:r w:rsidR="00331865">
        <w:rPr>
          <w:rFonts w:ascii="Arial" w:eastAsia="ヒラギノ角ゴ Pro W3" w:hAnsi="Arial" w:cs="Arial"/>
          <w:b/>
          <w:color w:val="000000"/>
          <w:lang w:eastAsia="en-GB"/>
        </w:rPr>
        <w:t>ackground:</w:t>
      </w:r>
      <w:r w:rsidRPr="00331865">
        <w:rPr>
          <w:rFonts w:cstheme="minorHAnsi"/>
          <w:b/>
        </w:rPr>
        <w:t xml:space="preserve"> </w:t>
      </w:r>
      <w:r w:rsidRPr="00331865">
        <w:rPr>
          <w:rFonts w:cstheme="minorHAnsi"/>
        </w:rPr>
        <w:t xml:space="preserve">Early detection and diagnosis of TB remains a major priority for global TB control. Few studies have used a mixed methods approach to investigate the social determinants contributing to diagnostic delay and none have compared qualitative data collected from individual, community, and health-system levels. We aimed to characterize the social determinants that contribute to diagnostic delay among persons diagnosed with TB (PDTB) living in resource-constrained districts of Lima, Peru. </w:t>
      </w:r>
    </w:p>
    <w:p w:rsidR="00FF48B8" w:rsidRPr="00877252" w:rsidRDefault="00FF48B8" w:rsidP="00FF48B8">
      <w:pPr>
        <w:spacing w:line="240" w:lineRule="auto"/>
        <w:jc w:val="both"/>
        <w:rPr>
          <w:rFonts w:ascii="Arial" w:hAnsi="Arial" w:cs="Arial"/>
          <w:sz w:val="10"/>
          <w:szCs w:val="20"/>
        </w:rPr>
      </w:pPr>
    </w:p>
    <w:p w:rsidR="00FF48B8" w:rsidRPr="00331865" w:rsidRDefault="00331865" w:rsidP="00FF48B8">
      <w:pPr>
        <w:spacing w:line="240" w:lineRule="auto"/>
        <w:jc w:val="both"/>
        <w:rPr>
          <w:rFonts w:ascii="Calibri" w:hAnsi="Calibri" w:cs="Calibri"/>
        </w:rPr>
      </w:pPr>
      <w:r>
        <w:rPr>
          <w:rFonts w:ascii="Arial" w:hAnsi="Arial" w:cs="Arial"/>
          <w:b/>
        </w:rPr>
        <w:t>Methods:</w:t>
      </w:r>
      <w:r w:rsidR="00FF48B8" w:rsidRPr="00331865">
        <w:rPr>
          <w:rFonts w:ascii="Calibri" w:hAnsi="Calibri" w:cs="Calibri"/>
          <w:b/>
        </w:rPr>
        <w:t xml:space="preserve"> </w:t>
      </w:r>
      <w:r w:rsidR="00FF48B8" w:rsidRPr="00331865">
        <w:rPr>
          <w:rFonts w:ascii="Calibri" w:hAnsi="Calibri" w:cs="Calibri"/>
        </w:rPr>
        <w:t>Data were collected in 19 districts of Lima between May and October 2015. Semi-structured interviews with PDTB (n=105) and their family members (n=61) explored health-seeking behaviors, community perceptions of TB and socio-demographic circumstances. Focus groups (n=7) were conducted with healthcare personnel working in the National TB Program (NTP) and explored the relationships and attitudes between staff, PDTB and the NTP. All interview data were transcribed and analyzed using a grounded theory approach. Factors associated with diagnostic delay were analyzed.</w:t>
      </w:r>
    </w:p>
    <w:p w:rsidR="00FF48B8" w:rsidRPr="00331865" w:rsidRDefault="00FF48B8" w:rsidP="00FF48B8">
      <w:pPr>
        <w:spacing w:line="240" w:lineRule="auto"/>
        <w:jc w:val="both"/>
        <w:rPr>
          <w:rFonts w:ascii="Calibri" w:hAnsi="Calibri" w:cs="Calibri"/>
          <w:b/>
        </w:rPr>
      </w:pPr>
    </w:p>
    <w:p w:rsidR="00FF48B8" w:rsidRPr="00331865" w:rsidRDefault="00331865" w:rsidP="00FF48B8">
      <w:pPr>
        <w:spacing w:line="240" w:lineRule="auto"/>
        <w:jc w:val="both"/>
        <w:rPr>
          <w:rFonts w:ascii="Calibri" w:hAnsi="Calibri" w:cs="Calibri"/>
        </w:rPr>
      </w:pPr>
      <w:r>
        <w:rPr>
          <w:rFonts w:ascii="Arial" w:hAnsi="Arial" w:cs="Arial"/>
          <w:b/>
        </w:rPr>
        <w:t>Results:</w:t>
      </w:r>
      <w:r w:rsidR="00FF48B8" w:rsidRPr="00331865">
        <w:rPr>
          <w:rFonts w:ascii="Calibri" w:hAnsi="Calibri" w:cs="Calibri"/>
          <w:b/>
        </w:rPr>
        <w:t xml:space="preserve">  </w:t>
      </w:r>
      <w:r w:rsidR="00FF48B8" w:rsidRPr="00331865">
        <w:rPr>
          <w:rFonts w:ascii="Calibri" w:hAnsi="Calibri" w:cs="Calibri"/>
        </w:rPr>
        <w:t xml:space="preserve">The median delay between symptom onset and the clinic visit that led to the first positive diagnostic sample was 57 days (interquartile range 28-126). In negative binomial regression adjusted for age and sex, increased delay was associated with older age; female sex; lower personal income prior to diagnosis; living with fewer people; having more visits to health posts prior to diagnosis; and initially visiting a private clinic as opposed to a public or employer insured health facility (all p&lt;0.05). In qualitative analysis, the great majority of PDTB distrusted the public health care system and sought care at public health posts only after exhausting all other options. It was universally agreed that PDTB faced discrimination by both the public and healthcare personnel. Self-medication was reported as the most common initial health-seeking behavior due to the speed and relatively low-cost of treatment in pharmacies.  Most PDTB perceived their illness as a simple cold that would pass. </w:t>
      </w:r>
    </w:p>
    <w:p w:rsidR="00FF48B8" w:rsidRPr="00331865" w:rsidRDefault="00FF48B8" w:rsidP="00FF48B8">
      <w:pPr>
        <w:spacing w:line="240" w:lineRule="auto"/>
        <w:jc w:val="both"/>
        <w:rPr>
          <w:rFonts w:ascii="Calibri" w:hAnsi="Calibri" w:cs="Calibri"/>
        </w:rPr>
      </w:pPr>
    </w:p>
    <w:p w:rsidR="00FF48B8" w:rsidRPr="00331865" w:rsidRDefault="00331865" w:rsidP="00FF48B8">
      <w:pPr>
        <w:spacing w:line="240" w:lineRule="auto"/>
        <w:jc w:val="both"/>
        <w:rPr>
          <w:rFonts w:ascii="Calibri" w:hAnsi="Calibri" w:cs="Calibri"/>
        </w:rPr>
      </w:pPr>
      <w:r>
        <w:rPr>
          <w:rFonts w:ascii="Arial" w:hAnsi="Arial" w:cs="Arial"/>
          <w:b/>
        </w:rPr>
        <w:t xml:space="preserve">Conclusion: </w:t>
      </w:r>
      <w:r w:rsidR="00FF48B8" w:rsidRPr="00331865">
        <w:rPr>
          <w:rFonts w:ascii="Calibri" w:hAnsi="Calibri" w:cs="Calibri"/>
        </w:rPr>
        <w:t xml:space="preserve">Diagnostic delay is common, prolonged and greatest among older, low income, socially isolated women. More and improved human and material resources are required to promote TB case-finding initiatives, reduce TB-associated stigma and address the social determinants of diagnostic delay. </w:t>
      </w:r>
    </w:p>
    <w:p w:rsidR="00FF48B8" w:rsidRPr="00877252" w:rsidRDefault="00FF48B8" w:rsidP="00FF48B8">
      <w:pPr>
        <w:spacing w:line="240" w:lineRule="auto"/>
        <w:jc w:val="both"/>
        <w:rPr>
          <w:rStyle w:val="Textoennegrita"/>
          <w:rFonts w:ascii="Arial" w:hAnsi="Arial" w:cs="Arial"/>
          <w:sz w:val="10"/>
          <w:szCs w:val="20"/>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218"/>
        <w:gridCol w:w="6604"/>
      </w:tblGrid>
      <w:tr w:rsidR="00FF48B8" w:rsidRPr="00877252" w:rsidTr="00C53112">
        <w:trPr>
          <w:tblCellSpacing w:w="7" w:type="dxa"/>
        </w:trPr>
        <w:tc>
          <w:tcPr>
            <w:tcW w:w="1247" w:type="pct"/>
            <w:tcBorders>
              <w:top w:val="outset" w:sz="6" w:space="0" w:color="auto"/>
              <w:left w:val="outset" w:sz="6" w:space="0" w:color="auto"/>
              <w:bottom w:val="outset" w:sz="6" w:space="0" w:color="auto"/>
              <w:right w:val="outset" w:sz="6" w:space="0" w:color="auto"/>
            </w:tcBorders>
            <w:vAlign w:val="center"/>
            <w:hideMark/>
          </w:tcPr>
          <w:p w:rsidR="00FF48B8" w:rsidRPr="00877252" w:rsidRDefault="00FF48B8" w:rsidP="00C53112">
            <w:pPr>
              <w:rPr>
                <w:rFonts w:ascii="Times New Roman" w:hAnsi="Times New Roman" w:cs="Times New Roman"/>
                <w:sz w:val="16"/>
                <w:szCs w:val="24"/>
              </w:rPr>
            </w:pPr>
            <w:r w:rsidRPr="00877252">
              <w:rPr>
                <w:rFonts w:ascii="Arial" w:hAnsi="Arial" w:cs="Arial"/>
                <w:b/>
                <w:bCs/>
                <w:color w:val="000000"/>
                <w:sz w:val="16"/>
                <w:szCs w:val="20"/>
              </w:rPr>
              <w:t>Reference of your abstract and your poster board</w:t>
            </w:r>
          </w:p>
        </w:tc>
        <w:tc>
          <w:tcPr>
            <w:tcW w:w="3736" w:type="pct"/>
            <w:tcBorders>
              <w:top w:val="outset" w:sz="6" w:space="0" w:color="auto"/>
              <w:left w:val="outset" w:sz="6" w:space="0" w:color="auto"/>
              <w:bottom w:val="outset" w:sz="6" w:space="0" w:color="auto"/>
              <w:right w:val="outset" w:sz="6" w:space="0" w:color="auto"/>
            </w:tcBorders>
            <w:vAlign w:val="center"/>
            <w:hideMark/>
          </w:tcPr>
          <w:p w:rsidR="00FF48B8" w:rsidRPr="00877252" w:rsidRDefault="00FF48B8" w:rsidP="00C53112">
            <w:pPr>
              <w:rPr>
                <w:rFonts w:ascii="Times New Roman" w:hAnsi="Times New Roman" w:cs="Times New Roman"/>
                <w:sz w:val="16"/>
                <w:szCs w:val="24"/>
              </w:rPr>
            </w:pPr>
            <w:r w:rsidRPr="00877252">
              <w:rPr>
                <w:rFonts w:ascii="Arial" w:hAnsi="Arial" w:cs="Arial"/>
                <w:color w:val="000000"/>
                <w:sz w:val="16"/>
                <w:szCs w:val="20"/>
              </w:rPr>
              <w:t>SOA-511-27</w:t>
            </w:r>
          </w:p>
        </w:tc>
      </w:tr>
      <w:tr w:rsidR="00FF48B8" w:rsidRPr="00877252" w:rsidTr="00C53112">
        <w:trPr>
          <w:tblCellSpacing w:w="7" w:type="dxa"/>
        </w:trPr>
        <w:tc>
          <w:tcPr>
            <w:tcW w:w="1247" w:type="pct"/>
            <w:tcBorders>
              <w:top w:val="outset" w:sz="6" w:space="0" w:color="auto"/>
              <w:left w:val="outset" w:sz="6" w:space="0" w:color="auto"/>
              <w:bottom w:val="outset" w:sz="6" w:space="0" w:color="auto"/>
              <w:right w:val="outset" w:sz="6" w:space="0" w:color="auto"/>
            </w:tcBorders>
            <w:vAlign w:val="center"/>
            <w:hideMark/>
          </w:tcPr>
          <w:p w:rsidR="00FF48B8" w:rsidRPr="00877252" w:rsidRDefault="00FF48B8" w:rsidP="00C53112">
            <w:pPr>
              <w:rPr>
                <w:rFonts w:ascii="Times New Roman" w:hAnsi="Times New Roman" w:cs="Times New Roman"/>
                <w:sz w:val="16"/>
                <w:szCs w:val="24"/>
              </w:rPr>
            </w:pPr>
            <w:r w:rsidRPr="00877252">
              <w:rPr>
                <w:rFonts w:ascii="Arial" w:hAnsi="Arial" w:cs="Arial"/>
                <w:b/>
                <w:bCs/>
                <w:color w:val="000000"/>
                <w:sz w:val="16"/>
                <w:szCs w:val="20"/>
              </w:rPr>
              <w:t>Title of abstract</w:t>
            </w:r>
          </w:p>
        </w:tc>
        <w:tc>
          <w:tcPr>
            <w:tcW w:w="3736" w:type="pct"/>
            <w:tcBorders>
              <w:top w:val="outset" w:sz="6" w:space="0" w:color="auto"/>
              <w:left w:val="outset" w:sz="6" w:space="0" w:color="auto"/>
              <w:bottom w:val="outset" w:sz="6" w:space="0" w:color="auto"/>
              <w:right w:val="outset" w:sz="6" w:space="0" w:color="auto"/>
            </w:tcBorders>
            <w:vAlign w:val="center"/>
            <w:hideMark/>
          </w:tcPr>
          <w:p w:rsidR="00FF48B8" w:rsidRPr="00877252" w:rsidRDefault="00FF48B8" w:rsidP="00C53112">
            <w:pPr>
              <w:rPr>
                <w:rFonts w:ascii="Times New Roman" w:hAnsi="Times New Roman" w:cs="Times New Roman"/>
                <w:sz w:val="16"/>
                <w:szCs w:val="24"/>
              </w:rPr>
            </w:pPr>
            <w:r w:rsidRPr="00877252">
              <w:rPr>
                <w:rFonts w:ascii="Arial" w:hAnsi="Arial" w:cs="Arial"/>
                <w:color w:val="000000"/>
                <w:sz w:val="16"/>
                <w:szCs w:val="20"/>
              </w:rPr>
              <w:t>The Social Determinants Underlying Tuberculosis Diagnostic Delay: A Mixed Methods Study</w:t>
            </w:r>
          </w:p>
        </w:tc>
      </w:tr>
      <w:tr w:rsidR="00FF48B8" w:rsidRPr="00877252" w:rsidTr="00C53112">
        <w:trPr>
          <w:tblCellSpacing w:w="7" w:type="dxa"/>
        </w:trPr>
        <w:tc>
          <w:tcPr>
            <w:tcW w:w="1247" w:type="pct"/>
            <w:tcBorders>
              <w:top w:val="outset" w:sz="6" w:space="0" w:color="auto"/>
              <w:left w:val="outset" w:sz="6" w:space="0" w:color="auto"/>
              <w:bottom w:val="outset" w:sz="6" w:space="0" w:color="auto"/>
              <w:right w:val="outset" w:sz="6" w:space="0" w:color="auto"/>
            </w:tcBorders>
            <w:vAlign w:val="center"/>
            <w:hideMark/>
          </w:tcPr>
          <w:p w:rsidR="00FF48B8" w:rsidRPr="00877252" w:rsidRDefault="00FF48B8" w:rsidP="00C53112">
            <w:pPr>
              <w:rPr>
                <w:rFonts w:ascii="Times New Roman" w:hAnsi="Times New Roman" w:cs="Times New Roman"/>
                <w:sz w:val="16"/>
                <w:szCs w:val="24"/>
              </w:rPr>
            </w:pPr>
            <w:r w:rsidRPr="00877252">
              <w:rPr>
                <w:rFonts w:ascii="Arial" w:hAnsi="Arial" w:cs="Arial"/>
                <w:b/>
                <w:bCs/>
                <w:color w:val="000000"/>
                <w:sz w:val="16"/>
                <w:szCs w:val="20"/>
              </w:rPr>
              <w:lastRenderedPageBreak/>
              <w:t>Presenting author</w:t>
            </w:r>
          </w:p>
        </w:tc>
        <w:tc>
          <w:tcPr>
            <w:tcW w:w="3736" w:type="pct"/>
            <w:tcBorders>
              <w:top w:val="outset" w:sz="6" w:space="0" w:color="auto"/>
              <w:left w:val="outset" w:sz="6" w:space="0" w:color="auto"/>
              <w:bottom w:val="outset" w:sz="6" w:space="0" w:color="auto"/>
              <w:right w:val="outset" w:sz="6" w:space="0" w:color="auto"/>
            </w:tcBorders>
            <w:vAlign w:val="center"/>
            <w:hideMark/>
          </w:tcPr>
          <w:p w:rsidR="00FF48B8" w:rsidRPr="00877252" w:rsidRDefault="00FF48B8" w:rsidP="00C53112">
            <w:pPr>
              <w:rPr>
                <w:rFonts w:ascii="Times New Roman" w:hAnsi="Times New Roman" w:cs="Times New Roman"/>
                <w:sz w:val="16"/>
                <w:szCs w:val="24"/>
              </w:rPr>
            </w:pPr>
            <w:r w:rsidRPr="00877252">
              <w:rPr>
                <w:rFonts w:ascii="Arial" w:hAnsi="Arial" w:cs="Arial"/>
                <w:color w:val="000000"/>
                <w:sz w:val="16"/>
                <w:szCs w:val="20"/>
              </w:rPr>
              <w:t>Lily Bonadonna</w:t>
            </w:r>
          </w:p>
        </w:tc>
      </w:tr>
      <w:tr w:rsidR="00FF48B8" w:rsidRPr="00877252" w:rsidTr="00C53112">
        <w:trPr>
          <w:tblCellSpacing w:w="7" w:type="dxa"/>
        </w:trPr>
        <w:tc>
          <w:tcPr>
            <w:tcW w:w="1247" w:type="pct"/>
            <w:tcBorders>
              <w:top w:val="outset" w:sz="6" w:space="0" w:color="auto"/>
              <w:left w:val="outset" w:sz="6" w:space="0" w:color="auto"/>
              <w:bottom w:val="outset" w:sz="6" w:space="0" w:color="auto"/>
              <w:right w:val="outset" w:sz="6" w:space="0" w:color="auto"/>
            </w:tcBorders>
            <w:vAlign w:val="center"/>
            <w:hideMark/>
          </w:tcPr>
          <w:p w:rsidR="00FF48B8" w:rsidRPr="00877252" w:rsidRDefault="00FF48B8" w:rsidP="00C53112">
            <w:pPr>
              <w:rPr>
                <w:rFonts w:ascii="Times New Roman" w:hAnsi="Times New Roman" w:cs="Times New Roman"/>
                <w:sz w:val="16"/>
                <w:szCs w:val="24"/>
              </w:rPr>
            </w:pPr>
            <w:r w:rsidRPr="00877252">
              <w:rPr>
                <w:rFonts w:ascii="Arial" w:hAnsi="Arial" w:cs="Arial"/>
                <w:b/>
                <w:bCs/>
                <w:color w:val="000000"/>
                <w:sz w:val="16"/>
                <w:szCs w:val="20"/>
              </w:rPr>
              <w:t>Type of session</w:t>
            </w:r>
          </w:p>
        </w:tc>
        <w:tc>
          <w:tcPr>
            <w:tcW w:w="3736" w:type="pct"/>
            <w:tcBorders>
              <w:top w:val="outset" w:sz="6" w:space="0" w:color="auto"/>
              <w:left w:val="outset" w:sz="6" w:space="0" w:color="auto"/>
              <w:bottom w:val="outset" w:sz="6" w:space="0" w:color="auto"/>
              <w:right w:val="outset" w:sz="6" w:space="0" w:color="auto"/>
            </w:tcBorders>
            <w:vAlign w:val="center"/>
            <w:hideMark/>
          </w:tcPr>
          <w:p w:rsidR="00FF48B8" w:rsidRPr="00877252" w:rsidRDefault="00FF48B8" w:rsidP="00C53112">
            <w:pPr>
              <w:rPr>
                <w:rFonts w:ascii="Times New Roman" w:hAnsi="Times New Roman" w:cs="Times New Roman"/>
                <w:sz w:val="16"/>
                <w:szCs w:val="24"/>
              </w:rPr>
            </w:pPr>
            <w:r w:rsidRPr="00877252">
              <w:rPr>
                <w:rFonts w:ascii="Arial" w:hAnsi="Arial" w:cs="Arial"/>
                <w:color w:val="000000"/>
                <w:sz w:val="16"/>
                <w:szCs w:val="20"/>
              </w:rPr>
              <w:t>Short Oral Abstract Session</w:t>
            </w:r>
          </w:p>
        </w:tc>
      </w:tr>
      <w:tr w:rsidR="00FF48B8" w:rsidRPr="00877252" w:rsidTr="00C53112">
        <w:trPr>
          <w:tblCellSpacing w:w="7" w:type="dxa"/>
        </w:trPr>
        <w:tc>
          <w:tcPr>
            <w:tcW w:w="1247" w:type="pct"/>
            <w:tcBorders>
              <w:top w:val="outset" w:sz="6" w:space="0" w:color="auto"/>
              <w:left w:val="outset" w:sz="6" w:space="0" w:color="auto"/>
              <w:bottom w:val="outset" w:sz="6" w:space="0" w:color="auto"/>
              <w:right w:val="outset" w:sz="6" w:space="0" w:color="auto"/>
            </w:tcBorders>
            <w:vAlign w:val="center"/>
            <w:hideMark/>
          </w:tcPr>
          <w:p w:rsidR="00FF48B8" w:rsidRPr="00877252" w:rsidRDefault="00FF48B8" w:rsidP="00C53112">
            <w:pPr>
              <w:rPr>
                <w:rFonts w:ascii="Times New Roman" w:hAnsi="Times New Roman" w:cs="Times New Roman"/>
                <w:sz w:val="16"/>
                <w:szCs w:val="24"/>
              </w:rPr>
            </w:pPr>
            <w:r w:rsidRPr="00877252">
              <w:rPr>
                <w:rFonts w:ascii="Arial" w:hAnsi="Arial" w:cs="Arial"/>
                <w:b/>
                <w:bCs/>
                <w:color w:val="000000"/>
                <w:sz w:val="16"/>
                <w:szCs w:val="20"/>
              </w:rPr>
              <w:t>Title of session</w:t>
            </w:r>
          </w:p>
        </w:tc>
        <w:tc>
          <w:tcPr>
            <w:tcW w:w="3736" w:type="pct"/>
            <w:tcBorders>
              <w:top w:val="outset" w:sz="6" w:space="0" w:color="auto"/>
              <w:left w:val="outset" w:sz="6" w:space="0" w:color="auto"/>
              <w:bottom w:val="outset" w:sz="6" w:space="0" w:color="auto"/>
              <w:right w:val="outset" w:sz="6" w:space="0" w:color="auto"/>
            </w:tcBorders>
            <w:vAlign w:val="center"/>
            <w:hideMark/>
          </w:tcPr>
          <w:p w:rsidR="00FF48B8" w:rsidRPr="00877252" w:rsidRDefault="00FF48B8" w:rsidP="00C53112">
            <w:pPr>
              <w:rPr>
                <w:rFonts w:ascii="Times New Roman" w:hAnsi="Times New Roman" w:cs="Times New Roman"/>
                <w:sz w:val="16"/>
                <w:szCs w:val="24"/>
              </w:rPr>
            </w:pPr>
            <w:r w:rsidRPr="00877252">
              <w:rPr>
                <w:rFonts w:ascii="Arial" w:hAnsi="Arial" w:cs="Arial"/>
                <w:color w:val="000000"/>
                <w:sz w:val="16"/>
                <w:szCs w:val="20"/>
              </w:rPr>
              <w:t>02. We can work it out: understanding and preventing dinagnostic treatment delays</w:t>
            </w:r>
          </w:p>
        </w:tc>
      </w:tr>
      <w:tr w:rsidR="00FF48B8" w:rsidRPr="00877252" w:rsidTr="00C53112">
        <w:trPr>
          <w:tblCellSpacing w:w="7" w:type="dxa"/>
        </w:trPr>
        <w:tc>
          <w:tcPr>
            <w:tcW w:w="1247" w:type="pct"/>
            <w:tcBorders>
              <w:top w:val="outset" w:sz="6" w:space="0" w:color="auto"/>
              <w:left w:val="outset" w:sz="6" w:space="0" w:color="auto"/>
              <w:bottom w:val="outset" w:sz="6" w:space="0" w:color="auto"/>
              <w:right w:val="outset" w:sz="6" w:space="0" w:color="auto"/>
            </w:tcBorders>
            <w:vAlign w:val="center"/>
            <w:hideMark/>
          </w:tcPr>
          <w:p w:rsidR="00FF48B8" w:rsidRPr="00877252" w:rsidRDefault="00FF48B8" w:rsidP="00C53112">
            <w:pPr>
              <w:rPr>
                <w:rFonts w:ascii="Times New Roman" w:hAnsi="Times New Roman" w:cs="Times New Roman"/>
                <w:sz w:val="16"/>
                <w:szCs w:val="24"/>
              </w:rPr>
            </w:pPr>
            <w:r w:rsidRPr="00877252">
              <w:rPr>
                <w:rFonts w:ascii="Arial" w:hAnsi="Arial" w:cs="Arial"/>
                <w:b/>
                <w:bCs/>
                <w:color w:val="000000"/>
                <w:sz w:val="16"/>
                <w:szCs w:val="20"/>
              </w:rPr>
              <w:t>Date, time and place</w:t>
            </w:r>
          </w:p>
        </w:tc>
        <w:tc>
          <w:tcPr>
            <w:tcW w:w="3736" w:type="pct"/>
            <w:tcBorders>
              <w:top w:val="outset" w:sz="6" w:space="0" w:color="auto"/>
              <w:left w:val="outset" w:sz="6" w:space="0" w:color="auto"/>
              <w:bottom w:val="outset" w:sz="6" w:space="0" w:color="auto"/>
              <w:right w:val="outset" w:sz="6" w:space="0" w:color="auto"/>
            </w:tcBorders>
            <w:vAlign w:val="center"/>
            <w:hideMark/>
          </w:tcPr>
          <w:p w:rsidR="00FF48B8" w:rsidRPr="00877252" w:rsidRDefault="00FF48B8" w:rsidP="00C53112">
            <w:pPr>
              <w:rPr>
                <w:rFonts w:ascii="Times New Roman" w:hAnsi="Times New Roman" w:cs="Times New Roman"/>
                <w:sz w:val="16"/>
                <w:szCs w:val="24"/>
              </w:rPr>
            </w:pPr>
            <w:r w:rsidRPr="00877252">
              <w:rPr>
                <w:rFonts w:ascii="Arial" w:hAnsi="Arial" w:cs="Arial"/>
                <w:color w:val="000000"/>
                <w:sz w:val="16"/>
                <w:szCs w:val="20"/>
              </w:rPr>
              <w:t>27.10.2016, 10:30-12:00 in the Poster area</w:t>
            </w:r>
          </w:p>
        </w:tc>
      </w:tr>
      <w:tr w:rsidR="00FF48B8" w:rsidRPr="00877252" w:rsidTr="00C53112">
        <w:trPr>
          <w:tblCellSpacing w:w="7" w:type="dxa"/>
        </w:trPr>
        <w:tc>
          <w:tcPr>
            <w:tcW w:w="1247" w:type="pct"/>
            <w:tcBorders>
              <w:top w:val="outset" w:sz="6" w:space="0" w:color="auto"/>
              <w:left w:val="outset" w:sz="6" w:space="0" w:color="auto"/>
              <w:bottom w:val="outset" w:sz="6" w:space="0" w:color="auto"/>
              <w:right w:val="outset" w:sz="6" w:space="0" w:color="auto"/>
            </w:tcBorders>
            <w:vAlign w:val="center"/>
            <w:hideMark/>
          </w:tcPr>
          <w:p w:rsidR="00FF48B8" w:rsidRPr="00877252" w:rsidRDefault="00FF48B8" w:rsidP="00C53112">
            <w:pPr>
              <w:rPr>
                <w:rFonts w:ascii="Times New Roman" w:hAnsi="Times New Roman" w:cs="Times New Roman"/>
                <w:sz w:val="16"/>
                <w:szCs w:val="24"/>
              </w:rPr>
            </w:pPr>
            <w:r w:rsidRPr="00877252">
              <w:rPr>
                <w:rFonts w:ascii="Arial" w:hAnsi="Arial" w:cs="Arial"/>
                <w:b/>
                <w:bCs/>
                <w:color w:val="000000"/>
                <w:sz w:val="16"/>
                <w:szCs w:val="20"/>
              </w:rPr>
              <w:t>Room</w:t>
            </w:r>
          </w:p>
        </w:tc>
        <w:tc>
          <w:tcPr>
            <w:tcW w:w="3736" w:type="pct"/>
            <w:tcBorders>
              <w:top w:val="outset" w:sz="6" w:space="0" w:color="auto"/>
              <w:left w:val="outset" w:sz="6" w:space="0" w:color="auto"/>
              <w:bottom w:val="outset" w:sz="6" w:space="0" w:color="auto"/>
              <w:right w:val="outset" w:sz="6" w:space="0" w:color="auto"/>
            </w:tcBorders>
            <w:vAlign w:val="center"/>
            <w:hideMark/>
          </w:tcPr>
          <w:p w:rsidR="00FF48B8" w:rsidRPr="00877252" w:rsidRDefault="00FF48B8" w:rsidP="00C53112">
            <w:pPr>
              <w:rPr>
                <w:rFonts w:ascii="Times New Roman" w:hAnsi="Times New Roman" w:cs="Times New Roman"/>
                <w:sz w:val="16"/>
                <w:szCs w:val="24"/>
              </w:rPr>
            </w:pPr>
            <w:r w:rsidRPr="00877252">
              <w:rPr>
                <w:rFonts w:ascii="Arial" w:hAnsi="Arial" w:cs="Arial"/>
                <w:color w:val="000000"/>
                <w:sz w:val="16"/>
                <w:szCs w:val="20"/>
              </w:rPr>
              <w:t>Announced in the Final Programme of the conference</w:t>
            </w:r>
          </w:p>
        </w:tc>
      </w:tr>
    </w:tbl>
    <w:p w:rsidR="00FF48B8" w:rsidRDefault="00FF48B8" w:rsidP="00FF48B8">
      <w:pPr>
        <w:spacing w:line="360" w:lineRule="auto"/>
        <w:jc w:val="both"/>
        <w:rPr>
          <w:rFonts w:ascii="Arial" w:hAnsi="Arial" w:cs="Arial"/>
          <w:sz w:val="20"/>
          <w:szCs w:val="20"/>
        </w:rPr>
        <w:sectPr w:rsidR="00FF48B8" w:rsidSect="00877252">
          <w:pgSz w:w="12240" w:h="15840"/>
          <w:pgMar w:top="1135" w:right="1701" w:bottom="1417" w:left="1701" w:header="708" w:footer="708" w:gutter="0"/>
          <w:cols w:space="708"/>
          <w:docGrid w:linePitch="360"/>
        </w:sectPr>
      </w:pPr>
    </w:p>
    <w:p w:rsidR="00FF48B8" w:rsidRPr="00E801CE" w:rsidRDefault="00FF48B8" w:rsidP="00FF48B8">
      <w:pPr>
        <w:rPr>
          <w:rFonts w:ascii="Arial" w:hAnsi="Arial" w:cs="Arial"/>
          <w:sz w:val="20"/>
          <w:szCs w:val="20"/>
        </w:rPr>
      </w:pPr>
      <w:r w:rsidRPr="00E801CE">
        <w:rPr>
          <w:rFonts w:ascii="Arial" w:hAnsi="Arial" w:cs="Arial"/>
          <w:b/>
          <w:sz w:val="20"/>
          <w:szCs w:val="20"/>
        </w:rPr>
        <w:lastRenderedPageBreak/>
        <w:t>Figure</w:t>
      </w:r>
      <w:r w:rsidRPr="00E801CE">
        <w:rPr>
          <w:rFonts w:ascii="Arial" w:hAnsi="Arial" w:cs="Arial"/>
          <w:sz w:val="20"/>
          <w:szCs w:val="20"/>
        </w:rPr>
        <w:t>: Box-plots of facto</w:t>
      </w:r>
      <w:r>
        <w:rPr>
          <w:rFonts w:ascii="Arial" w:hAnsi="Arial" w:cs="Arial"/>
          <w:sz w:val="20"/>
          <w:szCs w:val="20"/>
        </w:rPr>
        <w:t>r</w:t>
      </w:r>
      <w:r w:rsidRPr="00E801CE">
        <w:rPr>
          <w:rFonts w:ascii="Arial" w:hAnsi="Arial" w:cs="Arial"/>
          <w:sz w:val="20"/>
          <w:szCs w:val="20"/>
        </w:rPr>
        <w:t>s associated with diagnostic delay significant in multivariable analysis</w:t>
      </w:r>
    </w:p>
    <w:p w:rsidR="00FF48B8" w:rsidRPr="001467AF" w:rsidRDefault="00FF48B8" w:rsidP="00FF48B8">
      <w:pPr>
        <w:spacing w:line="360" w:lineRule="auto"/>
        <w:jc w:val="both"/>
        <w:rPr>
          <w:rFonts w:ascii="Arial" w:hAnsi="Arial" w:cs="Arial"/>
          <w:sz w:val="20"/>
          <w:szCs w:val="20"/>
        </w:rPr>
      </w:pPr>
    </w:p>
    <w:p w:rsidR="00FF48B8" w:rsidRPr="001467AF" w:rsidRDefault="00FF48B8" w:rsidP="00FF48B8">
      <w:pPr>
        <w:spacing w:line="240" w:lineRule="auto"/>
        <w:jc w:val="both"/>
        <w:rPr>
          <w:rFonts w:ascii="Arial" w:hAnsi="Arial" w:cs="Arial"/>
          <w:sz w:val="20"/>
          <w:szCs w:val="20"/>
        </w:rPr>
      </w:pPr>
      <w:r>
        <w:rPr>
          <w:rFonts w:ascii="Arial" w:hAnsi="Arial" w:cs="Arial"/>
          <w:noProof/>
          <w:sz w:val="20"/>
          <w:szCs w:val="20"/>
          <w:lang w:val="es-PE" w:eastAsia="es-PE"/>
        </w:rPr>
        <w:drawing>
          <wp:anchor distT="0" distB="0" distL="114300" distR="114300" simplePos="0" relativeHeight="251659264" behindDoc="1" locked="0" layoutInCell="1" allowOverlap="1" wp14:anchorId="59099BD8" wp14:editId="60ACA341">
            <wp:simplePos x="0" y="0"/>
            <wp:positionH relativeFrom="column">
              <wp:posOffset>-535688</wp:posOffset>
            </wp:positionH>
            <wp:positionV relativeFrom="paragraph">
              <wp:posOffset>8267</wp:posOffset>
            </wp:positionV>
            <wp:extent cx="9245720" cy="5374257"/>
            <wp:effectExtent l="19050" t="0" r="0" b="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5720" cy="5374257"/>
                    </a:xfrm>
                    <a:prstGeom prst="rect">
                      <a:avLst/>
                    </a:prstGeom>
                    <a:noFill/>
                    <a:ln>
                      <a:noFill/>
                    </a:ln>
                  </pic:spPr>
                </pic:pic>
              </a:graphicData>
            </a:graphic>
          </wp:anchor>
        </w:drawing>
      </w:r>
    </w:p>
    <w:p w:rsidR="00FF48B8" w:rsidRPr="00877252" w:rsidRDefault="00FF48B8" w:rsidP="00FF48B8">
      <w:pPr>
        <w:spacing w:line="240" w:lineRule="auto"/>
        <w:jc w:val="both"/>
        <w:rPr>
          <w:rStyle w:val="apple-style-span"/>
          <w:rFonts w:ascii="Arial" w:hAnsi="Arial" w:cs="Arial"/>
          <w:sz w:val="20"/>
          <w:szCs w:val="20"/>
        </w:rPr>
      </w:pPr>
    </w:p>
    <w:p w:rsidR="002B3F30" w:rsidRDefault="002B3F30"/>
    <w:sectPr w:rsidR="002B3F30" w:rsidSect="00FF48B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E4E27"/>
    <w:multiLevelType w:val="hybridMultilevel"/>
    <w:tmpl w:val="BB568BEA"/>
    <w:lvl w:ilvl="0" w:tplc="33AEE63C">
      <w:start w:val="1"/>
      <w:numFmt w:val="decimal"/>
      <w:lvlText w:val="%1"/>
      <w:lvlJc w:val="left"/>
      <w:pPr>
        <w:ind w:left="360" w:hanging="360"/>
      </w:pPr>
      <w:rPr>
        <w:rFonts w:ascii="Arial" w:eastAsiaTheme="minorHAnsi" w:hAnsi="Arial" w:cs="Arial"/>
        <w:vertAlign w:val="superscrip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8B8"/>
    <w:rsid w:val="002B3F30"/>
    <w:rsid w:val="00331865"/>
    <w:rsid w:val="00FF4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195D9-BC24-4DC7-ADD6-DE5E7488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8B8"/>
    <w:pPr>
      <w:spacing w:after="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rsid w:val="00FF48B8"/>
    <w:pPr>
      <w:spacing w:after="0" w:line="240" w:lineRule="auto"/>
      <w:outlineLvl w:val="0"/>
    </w:pPr>
    <w:rPr>
      <w:rFonts w:ascii="Times New Roman" w:eastAsia="ヒラギノ角ゴ Pro W3" w:hAnsi="Times New Roman" w:cs="Times New Roman"/>
      <w:color w:val="000000"/>
      <w:sz w:val="24"/>
      <w:szCs w:val="24"/>
      <w:lang w:val="en-US" w:eastAsia="en-GB"/>
    </w:rPr>
  </w:style>
  <w:style w:type="character" w:styleId="Textoennegrita">
    <w:name w:val="Strong"/>
    <w:basedOn w:val="Fuentedeprrafopredeter"/>
    <w:uiPriority w:val="22"/>
    <w:qFormat/>
    <w:rsid w:val="00FF48B8"/>
    <w:rPr>
      <w:b/>
      <w:bCs/>
    </w:rPr>
  </w:style>
  <w:style w:type="character" w:customStyle="1" w:styleId="apple-style-span">
    <w:name w:val="apple-style-span"/>
    <w:rsid w:val="00FF48B8"/>
  </w:style>
  <w:style w:type="paragraph" w:styleId="Prrafodelista">
    <w:name w:val="List Paragraph"/>
    <w:basedOn w:val="Normal"/>
    <w:uiPriority w:val="34"/>
    <w:qFormat/>
    <w:rsid w:val="00FF48B8"/>
    <w:pPr>
      <w:spacing w:after="200"/>
      <w:ind w:left="720"/>
      <w:contextualSpacing/>
    </w:pPr>
    <w:rPr>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550</Words>
  <Characters>3029</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M</dc:creator>
  <cp:keywords/>
  <dc:description/>
  <cp:lastModifiedBy>Mich G.</cp:lastModifiedBy>
  <cp:revision>2</cp:revision>
  <dcterms:created xsi:type="dcterms:W3CDTF">2020-06-25T11:29:00Z</dcterms:created>
  <dcterms:modified xsi:type="dcterms:W3CDTF">2020-06-26T17:32:00Z</dcterms:modified>
</cp:coreProperties>
</file>